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3235"/>
        <w:gridCol w:w="3032"/>
      </w:tblGrid>
      <w:tr>
        <w:trPr/>
        <w:tc>
          <w:tcPr>
            <w:tcW w:w="3516" w:type="dxa"/>
            <w:tcBorders/>
            <w:shd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35" w:type="dxa"/>
            <w:tcBorders/>
            <w:shd w:fill="FFFFFF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</w:t>
            </w:r>
            <w:r>
              <w:rPr/>
              <w:drawing>
                <wp:inline distT="0" distB="0" distL="0" distR="0">
                  <wp:extent cx="839470" cy="102425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tcBorders/>
            <w:shd w:fill="FFFFFF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783" w:type="dxa"/>
            <w:gridSpan w:val="3"/>
            <w:tcBorders/>
            <w:shd w:fill="FFFFFF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АДМИНИСТРАЦИЯ САВИНСКОГО МУНИЦИПАЛЬНОГО РАЙОНА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ИВАНОВСКОЙ ОБЛАСТИ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100" w:before="60" w:after="6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tLeast" w:line="100" w:before="60" w:after="6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от 2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.12.2022  № 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867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-п</w:t>
      </w:r>
    </w:p>
    <w:p>
      <w:pPr>
        <w:pStyle w:val="Normal"/>
        <w:spacing w:lineRule="atLeast" w:line="100" w:before="60" w:after="6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п. Савино</w:t>
      </w:r>
    </w:p>
    <w:p>
      <w:pPr>
        <w:pStyle w:val="Normal"/>
        <w:spacing w:lineRule="atLeast" w:line="100" w:before="60" w:after="6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jc w:val="center"/>
        <w:rPr/>
      </w:pPr>
      <w:bookmarkStart w:id="0" w:name="__DdeLink__36350_2740007428"/>
      <w:bookmarkStart w:id="1" w:name="__DdeLink__18818_1809275279"/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установлении на 2023 год пороговых значений для признания </w:t>
      </w:r>
    </w:p>
    <w:p>
      <w:pPr>
        <w:pStyle w:val="ConsPlus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граждан малоимущими с целью предоставления им жилых помещений муниципального жилищного фонда по договорам социального найма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  <w:t>на территории Савинского муниципального района и Савинского городского поселения Савинского муниципального района</w:t>
      </w:r>
      <w:bookmarkEnd w:id="0"/>
      <w:bookmarkEnd w:id="1"/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2" w:name="__DdeLink__1404_639153233"/>
      <w:bookmarkStart w:id="3" w:name="__DdeLink__1404_639153233"/>
      <w:bookmarkEnd w:id="3"/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Жилищным </w:t>
      </w:r>
      <w:hyperlink r:id="rId3">
        <w:r>
          <w:rPr>
            <w:rStyle w:val="ListLabel2"/>
            <w:rFonts w:cs="Times New Roman"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Российской Федерации,</w:t>
      </w:r>
      <w:bookmarkStart w:id="4" w:name="__DdeLink__4447_2112833580"/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</w:t>
      </w:r>
      <w:hyperlink r:id="rId4">
        <w:r>
          <w:rPr>
            <w:rStyle w:val="ListLabel2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Ивановской области от 17.05.2006 № 50-ОЗ 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</w:t>
      </w:r>
      <w:bookmarkEnd w:id="4"/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,  </w:t>
      </w:r>
      <w:hyperlink r:id="rId5">
        <w:r>
          <w:rPr>
            <w:rStyle w:val="ListLabel6"/>
            <w:rFonts w:eastAsia="Courier New" w:cs="Arial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color w:val="000000"/>
            <w:kern w:val="2"/>
            <w:sz w:val="28"/>
            <w:szCs w:val="28"/>
            <w:u w:val="none"/>
            <w:lang w:val="ru-RU" w:eastAsia="hi-IN"/>
          </w:rPr>
          <w:t>П</w:t>
        </w:r>
      </w:hyperlink>
      <w:r>
        <w:rPr>
          <w:rFonts w:eastAsia="Courier New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остановлением Правительства</w:t>
      </w:r>
      <w:r>
        <w:rPr>
          <w:rFonts w:eastAsia="Courier New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 xml:space="preserve"> Ивановской области от 15.09.2021 № 415-п "Об установлении величины прожиточного минимума на душу населения и по основным социально-демографическим группам населения в Ивановской области на 2022 год",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руководствуясь Уставами Савинского муниципального района, Савинского городского поселения Савинского муниципального района, администрация Савинского муниципального района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 о с т а н о в л я е т 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Установить на 2023 год для признания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граждан малоимущими с целью предоставления им жилых помещений муниципального жилищного фонда по договорам социального найма на территории Савинского муниципального района и Савинского городского поселения Савинского муниципального района согласно приложению к настоящему постановлению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пороговое значение дохода заявителя и каждого члена его семьи в месяц (для предварительной процедуры отбора) - 31830,04</w:t>
      </w:r>
      <w:r>
        <w:rPr>
          <w:rFonts w:eastAsia="Courier New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 xml:space="preserve"> руб.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каждого члена семьи;</w:t>
      </w:r>
    </w:p>
    <w:p>
      <w:pPr>
        <w:pStyle w:val="ConsPlusNormal"/>
        <w:ind w:left="0" w:right="0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пороговое значение стоимости имущества, находящегося в собственности заявителя и каждого члена его семьи на момент обращения (для предварительной процедуры отбора) - 305522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,00 руб.</w:t>
      </w:r>
      <w:r>
        <w:rPr>
          <w:rFonts w:cs="Times New Roman" w:ascii="Times New Roman" w:hAnsi="Times New Roman"/>
          <w:sz w:val="28"/>
          <w:szCs w:val="28"/>
        </w:rPr>
        <w:t xml:space="preserve"> на каждого члена семьи.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Установить период накопления недостающих средств для приобретения жилья по нормам предоставления жилого помещения по договору социального найма - 60 месяцев.</w:t>
      </w:r>
    </w:p>
    <w:p>
      <w:pPr>
        <w:pStyle w:val="ConsPlusNormal"/>
        <w:ind w:left="0" w:right="0" w:firstLine="540"/>
        <w:jc w:val="both"/>
        <w:rPr/>
      </w:pPr>
      <w:r>
        <w:rPr>
          <w:rFonts w:eastAsia="Courier New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3. Администрации Савинского муниципального района использовать установленные значения для признания граждан малоимущими в целях предоставления жилых помещений по договорам социального найма на территории Савинского муниципального района и Савинского городского поселения Савинского муниципального района.</w:t>
      </w:r>
    </w:p>
    <w:p>
      <w:pPr>
        <w:pStyle w:val="ConsPlusNormal1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4.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Обнародовать настоящее постановление в соответствии с Уставом Савинского муниципального района и разместить на официальном   сайте   Савинского муниципального района  в информационно-телекоммуникационной    сети "Интернет".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Настоящее постановление вступает в  силу и распространяет свое действие на правоотношения, возникшие с 01.01.2023 года.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/>
      </w:pPr>
      <w:r>
        <w:rPr/>
      </w:r>
      <w:bookmarkStart w:id="5" w:name="__DdeLink__2122_2101980161"/>
      <w:bookmarkStart w:id="6" w:name="__DdeLink__2122_2101980161"/>
    </w:p>
    <w:p>
      <w:pPr>
        <w:pStyle w:val="Normal"/>
        <w:spacing w:lineRule="atLeast" w:line="100" w:before="0" w:after="0"/>
        <w:jc w:val="left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Глава Савинского </w:t>
      </w:r>
    </w:p>
    <w:p>
      <w:pPr>
        <w:pStyle w:val="Normal"/>
        <w:spacing w:lineRule="atLeast" w:line="100" w:before="0" w:after="0"/>
        <w:jc w:val="left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муниципальн</w:t>
      </w:r>
      <w:r>
        <w:rPr>
          <w:rFonts w:eastAsia="Times New Roman" w:ascii="Times New Roman" w:hAnsi="Times New Roman"/>
          <w:b/>
          <w:sz w:val="28"/>
          <w:szCs w:val="28"/>
        </w:rPr>
        <w:t>ого района                                                                  С.В. Поварков</w:t>
      </w:r>
      <w:bookmarkEnd w:id="6"/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Cs w:val="22"/>
        </w:rPr>
        <w:t>Приложение</w:t>
      </w:r>
    </w:p>
    <w:p>
      <w:pPr>
        <w:pStyle w:val="ConsPlusNormal"/>
        <w:spacing w:lineRule="auto" w:line="240" w:before="0" w:after="0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к постановлению администрации </w:t>
      </w:r>
    </w:p>
    <w:p>
      <w:pPr>
        <w:pStyle w:val="ConsPlusNormal"/>
        <w:spacing w:lineRule="auto" w:line="240" w:before="0" w:after="0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Савинского муниципального района </w:t>
      </w:r>
    </w:p>
    <w:p>
      <w:pPr>
        <w:pStyle w:val="ConsPlus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Cs w:val="22"/>
        </w:rPr>
        <w:t>от 28.12.2022 №   -п</w:t>
      </w:r>
    </w:p>
    <w:p>
      <w:pPr>
        <w:pStyle w:val="ConsPlus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Расчет порогового значения  дохода заявителя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и каждого члена его семьи  и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порогового значения  стоимости имущества, находящегося в собственности  заявителя и каждого члена его семьи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(для предварительной процедуры отбора),  </w:t>
      </w:r>
      <w:r>
        <w:rPr>
          <w:rFonts w:eastAsia="Courier New" w:cs="Times New Roman" w:ascii="Times New Roman" w:hAnsi="Times New Roman"/>
          <w:b/>
          <w:bCs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для признания граждан малоимущими в целях предоставления жилых помещений по договорам социального найма  на территории Савинского муниципального района и Савинского городского поселения Савинского муниципального района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1. Пороговое значение дохода, приходящегося на каждого члена семьи заявителя, определяется по формуле: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ПД = (СЖ / ПН) / РС + ПМ, где: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ПД - пороговое значение дохода, приходящегося на каждого члена семьи заявителя;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СЖ - расчетный показатель рыночной стоимости приобретения жилого помещения</w:t>
      </w: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hi-IN"/>
        </w:rPr>
        <w:t>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Данный расчетный показатель определяется как результат произведения нормы предоставления площади жилого помещения, количества членов семьи и установленной средней рыночной цены 1 квадратного метра площади жилого помещения. Полученный результат составляет размер денежных средств, необходимых заявителю или семье для приобретения жилого помещения по норме предоставления жилого помещения, установленной в Савинском муниципальном районе.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СЖ определяется как: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СЖ = НП x РС x РЦ, где: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НП - норма предоставления жилого помещения на одного члена семьи.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eastAsia="Courier New" w:cs="Times New Roman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 w:cs="Times New Roman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Fonts w:eastAsia="Courier New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 xml:space="preserve">Норма предоставления жилого помещения на каждого члена семьи  установлена </w:t>
      </w:r>
      <w:hyperlink r:id="rId6">
        <w:r>
          <w:rPr>
            <w:rStyle w:val="ListLabel2"/>
            <w:rFonts w:eastAsia="Courier New" w:cs="Times New Roman" w:ascii="Times New Roman" w:hAnsi="Times New Roman"/>
            <w:color w:val="000000"/>
            <w:kern w:val="2"/>
            <w:sz w:val="26"/>
            <w:szCs w:val="26"/>
            <w:u w:val="none"/>
            <w:lang w:val="ru-RU" w:eastAsia="hi-IN"/>
          </w:rPr>
          <w:t>решением</w:t>
        </w:r>
      </w:hyperlink>
      <w:r>
        <w:rPr>
          <w:rFonts w:eastAsia="Courier New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 xml:space="preserve"> Совета Савинского муниципального района от 23.05.2019 № 34-р «Об учетной норме площади жилого помещения и норме предоставления площади жилого помещения по договору социального найма на территории сельских поселений, входящих в состав Савинского муниципального района», решением Совета Савинского городского поселения от 22.05.2019 № 17-р «Об учетной норме площади жилого помещения и норме предоставления площади жилого помещения по договору социального найма на территории Савинского городского поселения» и составляет не менее </w:t>
      </w:r>
      <w:bookmarkStart w:id="7" w:name="_GoBack111"/>
      <w:bookmarkEnd w:id="7"/>
      <w:r>
        <w:rPr>
          <w:rFonts w:eastAsia="Courier New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14,0 кв. м  общей площади жилого помещения на каждого члена семьи.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РС — количество членов семьи;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РЦ - средняя рыночная цена одного кв. м площади жилого помещения в Савинском муниципальном районе.</w:t>
      </w:r>
    </w:p>
    <w:p>
      <w:pPr>
        <w:pStyle w:val="ConsPlusNormal"/>
        <w:spacing w:lineRule="auto" w:line="240" w:before="0" w:after="0"/>
        <w:ind w:left="0" w:right="0" w:firstLine="539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39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39"/>
        <w:jc w:val="both"/>
        <w:rPr/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 xml:space="preserve">Средняя рыночная стоимость одного квадратного метра площади жилого помещения по Савинскому муниципальному району установлена </w:t>
      </w:r>
      <w:hyperlink r:id="rId7">
        <w:r>
          <w:rPr>
            <w:rStyle w:val="ListLabel8"/>
            <w:rFonts w:eastAsia="Arial" w:ascii="Times New Roman" w:hAnsi="Times New Roman"/>
            <w:b w:val="false"/>
            <w:i w:val="false"/>
            <w:strike w:val="false"/>
            <w:dstrike w:val="false"/>
            <w:color w:val="000000"/>
            <w:kern w:val="2"/>
            <w:sz w:val="26"/>
            <w:szCs w:val="26"/>
            <w:u w:val="none"/>
            <w:lang w:val="ru-RU" w:eastAsia="hi-IN"/>
          </w:rPr>
          <w:t>П</w:t>
        </w:r>
      </w:hyperlink>
      <w:r>
        <w:rPr>
          <w:rFonts w:eastAsia="Arial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остановлением</w:t>
      </w: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 xml:space="preserve"> администрации Савинского муниципального района от 12.10.2022 № 676-п </w:t>
      </w:r>
      <w:r>
        <w:rPr>
          <w:rFonts w:eastAsia="Courier New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"О нормативе стоимости одного квадратного метра общей площади жилого помещения по Савинскому муниципальному району на 4 квартал 2022 года"</w:t>
      </w: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 xml:space="preserve"> и составляет 21823 руб.</w:t>
      </w:r>
    </w:p>
    <w:p>
      <w:pPr>
        <w:pStyle w:val="ConsPlusNormal"/>
        <w:spacing w:lineRule="auto" w:line="240" w:before="0" w:after="0"/>
        <w:ind w:left="0" w:right="0" w:firstLine="539"/>
        <w:jc w:val="both"/>
        <w:rPr>
          <w:rFonts w:ascii="Times New Roman" w:hAnsi="Times New Roman" w:eastAsia="Courier New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39"/>
        <w:jc w:val="both"/>
        <w:rPr/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СЖ = 14 x 1 x 21823 = 305522,00 руб.;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 w:eastAsia="Courier New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ПН - период накопления.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Период накопления недостающих средств для приобретения жилья по нормам предоставления жилого помещения по договору социального найма равен 60 месяцам и утвержден настоящим постановлением;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ПМ - среднемесячный минимальный уровень дохода на одного человека.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 xml:space="preserve">Среднемесячный минимальный уровень дохода на одного человека в целях обеспечения социально приемлемых стандартов проживания и оплаты ежемесячных обязательных платежей, включая долгосрочные обязательства (кредиты, содержание иждивенцев, расходы по страхованию), устанавливается в размере двукратного размера прожиточного минимума, установленного в Ивановской области на дату подачи заявления о предоставлении жилого помещения по договору социального найма. </w:t>
      </w:r>
      <w:hyperlink r:id="rId8">
        <w:r>
          <w:rPr>
            <w:rStyle w:val="ListLabel6"/>
            <w:rFonts w:eastAsia="Courier New" w:cs="Arial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color w:val="000000"/>
            <w:kern w:val="2"/>
            <w:sz w:val="26"/>
            <w:szCs w:val="26"/>
            <w:u w:val="none"/>
            <w:lang w:val="ru-RU" w:eastAsia="hi-IN"/>
          </w:rPr>
          <w:t>П</w:t>
        </w:r>
      </w:hyperlink>
      <w:r>
        <w:rPr>
          <w:rFonts w:eastAsia="Courier New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остановлением Правительства</w:t>
      </w:r>
      <w:r>
        <w:rPr>
          <w:rFonts w:eastAsia="Courier New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 xml:space="preserve"> Ивановской области от 20.12.2022 № 777-п "Об установлении величины прожиточного минимума на душу населения и по основным социально-демографическим группам населения в Ивановской области на 2023 год" у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становлена величина прожиточного минимума на 2023 год в расчете на месяц - 13369 рублей на душу населения. </w:t>
      </w:r>
    </w:p>
    <w:p>
      <w:pPr>
        <w:pStyle w:val="ConsPlusNormal"/>
        <w:spacing w:lineRule="auto" w:line="24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ПМ = 13369 x 2 = 26738 руб.;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 w:eastAsia="Courier New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eastAsia="Courier New" w:ascii="Times New Roman" w:hAnsi="Times New Roman"/>
          <w:b/>
          <w:bCs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ПД = ( 305522 / 60) / 1 + 26738 = 31830,04 руб.</w:t>
      </w:r>
    </w:p>
    <w:p>
      <w:pPr>
        <w:pStyle w:val="ConsPlusNormal"/>
        <w:spacing w:lineRule="auto" w:line="24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2) Пороговое значение стоимости имущества, находящегося в собственности заявителя и членов его семьи., принимается равным расчетному показателю рыночной стоимости жилого помещения, умноженному на количество членов семьи.</w:t>
      </w:r>
    </w:p>
    <w:p>
      <w:pPr>
        <w:pStyle w:val="ConsPlusNormal"/>
        <w:spacing w:lineRule="auto" w:line="240"/>
        <w:ind w:left="0" w:right="0" w:firstLine="540"/>
        <w:jc w:val="both"/>
        <w:rPr>
          <w:rFonts w:eastAsia="Courier New"/>
          <w:b w:val="false"/>
          <w:b w:val="false"/>
          <w:i w:val="false"/>
          <w:i w:val="false"/>
          <w:strike w:val="false"/>
          <w:dstrike w:val="false"/>
          <w:kern w:val="2"/>
          <w:u w:val="none"/>
          <w:lang w:val="ru-RU" w:eastAsia="hi-IN"/>
        </w:rPr>
      </w:pPr>
      <w:r>
        <w:rPr>
          <w:rFonts w:eastAsia="Courier New"/>
          <w:b w:val="false"/>
          <w:i w:val="false"/>
          <w:strike w:val="false"/>
          <w:dstrike w:val="false"/>
          <w:kern w:val="2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ПИ = СЖ x РС, где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ПИ - пороговое значение стоимости имущества.</w:t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 w:eastAsia="Courier New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</w:pPr>
      <w:r>
        <w:rPr>
          <w:rFonts w:eastAsia="Courier New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firstLine="540"/>
        <w:jc w:val="both"/>
        <w:rPr/>
      </w:pPr>
      <w:r>
        <w:rPr>
          <w:rFonts w:eastAsia="Courier New" w:ascii="Times New Roman" w:hAnsi="Times New Roman"/>
          <w:b/>
          <w:bCs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hi-IN"/>
        </w:rPr>
        <w:t>ПИ = 305522 x 1 = 305522,00 руб.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ru-RU" w:eastAsia="zh-CN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Calibri" w:cs="Tahoma"/>
      <w:sz w:val="16"/>
      <w:szCs w:val="16"/>
      <w:lang w:eastAsia="zh-CN"/>
    </w:rPr>
  </w:style>
  <w:style w:type="character" w:styleId="ListLabel2">
    <w:name w:val="ListLabel 2"/>
    <w:qFormat/>
    <w:rPr>
      <w:rFonts w:ascii="Arial" w:hAnsi="Arial"/>
      <w:b w:val="false"/>
      <w:i w:val="false"/>
      <w:strike w:val="false"/>
      <w:dstrike w:val="false"/>
      <w:color w:val="0000FF"/>
      <w:sz w:val="16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00000A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Times New Roman" w:hAnsi="Times New Roman" w:cs="Times New Roman"/>
      <w:color w:val="00000A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6">
    <w:name w:val="ListLabel 6"/>
    <w:qFormat/>
    <w:rPr>
      <w:rFonts w:ascii="Times New Roman" w:hAnsi="Times New Roman" w:cs="Times New Roman"/>
      <w:color w:val="00000A"/>
      <w:sz w:val="28"/>
      <w:szCs w:val="28"/>
    </w:rPr>
  </w:style>
  <w:style w:type="character" w:styleId="ListLabel1">
    <w:name w:val="ListLabel 1"/>
    <w:qFormat/>
    <w:rPr>
      <w:sz w:val="28"/>
      <w:szCs w:val="28"/>
      <w:lang w:eastAsia="en-US"/>
    </w:rPr>
  </w:style>
  <w:style w:type="character" w:styleId="ListLabel7">
    <w:name w:val="ListLabel 7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color w:val="00000A"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10">
    <w:name w:val="ListLabel 10"/>
    <w:qFormat/>
    <w:rPr>
      <w:rFonts w:ascii="Times New Roman" w:hAnsi="Times New Roman" w:cs="Times New Roman"/>
      <w:color w:val="00000A"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0A"/>
      <w:sz w:val="28"/>
      <w:szCs w:val="28"/>
    </w:rPr>
  </w:style>
  <w:style w:type="character" w:styleId="ListLabel13">
    <w:name w:val="ListLabel 13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0A"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16">
    <w:name w:val="ListLabel 16"/>
    <w:qFormat/>
    <w:rPr>
      <w:rFonts w:ascii="Times New Roman" w:hAnsi="Times New Roman" w:cs="Times New Roman"/>
      <w:color w:val="00000A"/>
      <w:sz w:val="28"/>
      <w:szCs w:val="28"/>
    </w:rPr>
  </w:style>
  <w:style w:type="character" w:styleId="ListLabel17">
    <w:name w:val="ListLabel 1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18">
    <w:name w:val="ListLabel 18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character" w:styleId="ListLabel19">
    <w:name w:val="ListLabel 19"/>
    <w:qFormat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20">
    <w:name w:val="ListLabel 20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4"/>
      <w:szCs w:val="24"/>
      <w:u w:val="none"/>
      <w:lang w:val="ru-RU" w:eastAsia="hi-IN"/>
    </w:rPr>
  </w:style>
  <w:style w:type="character" w:styleId="ListLabel21">
    <w:name w:val="ListLabel 21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2">
    <w:name w:val="ListLabel 22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23">
    <w:name w:val="ListLabel 23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character" w:styleId="ListLabel24">
    <w:name w:val="ListLabel 24"/>
    <w:qFormat/>
    <w:rPr>
      <w:rFonts w:ascii="Times New Roman" w:hAnsi="Times New Roman" w:eastAsia="Courier New" w:cs="Times New Roman"/>
      <w:color w:val="000000"/>
      <w:kern w:val="2"/>
      <w:sz w:val="26"/>
      <w:szCs w:val="26"/>
      <w:u w:val="none"/>
      <w:lang w:val="ru-RU" w:eastAsia="hi-IN"/>
    </w:rPr>
  </w:style>
  <w:style w:type="character" w:styleId="ListLabel25">
    <w:name w:val="ListLabel 25"/>
    <w:qFormat/>
    <w:rPr>
      <w:rFonts w:ascii="Times New Roman" w:hAnsi="Times New Roman" w:eastAsia="Arial"/>
      <w:b w:val="false"/>
      <w:i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character" w:styleId="ListLabel26">
    <w:name w:val="ListLabel 26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character" w:styleId="ListLabel27">
    <w:name w:val="ListLabel 2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28">
    <w:name w:val="ListLabel 28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character" w:styleId="ListLabel29">
    <w:name w:val="ListLabel 29"/>
    <w:qFormat/>
    <w:rPr>
      <w:rFonts w:ascii="Times New Roman" w:hAnsi="Times New Roman" w:eastAsia="Courier New" w:cs="Times New Roman"/>
      <w:color w:val="000000"/>
      <w:kern w:val="2"/>
      <w:sz w:val="26"/>
      <w:szCs w:val="26"/>
      <w:u w:val="none"/>
      <w:lang w:val="ru-RU" w:eastAsia="hi-IN"/>
    </w:rPr>
  </w:style>
  <w:style w:type="character" w:styleId="ListLabel30">
    <w:name w:val="ListLabel 30"/>
    <w:qFormat/>
    <w:rPr>
      <w:rFonts w:ascii="Times New Roman" w:hAnsi="Times New Roman" w:eastAsia="Arial"/>
      <w:b w:val="false"/>
      <w:i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character" w:styleId="ListLabel31">
    <w:name w:val="ListLabel 31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character" w:styleId="ListLabel32">
    <w:name w:val="ListLabel 32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33">
    <w:name w:val="ListLabel 33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character" w:styleId="ListLabel34">
    <w:name w:val="ListLabel 34"/>
    <w:qFormat/>
    <w:rPr>
      <w:rFonts w:ascii="Times New Roman" w:hAnsi="Times New Roman" w:eastAsia="Courier New" w:cs="Times New Roman"/>
      <w:color w:val="000000"/>
      <w:kern w:val="2"/>
      <w:sz w:val="26"/>
      <w:szCs w:val="26"/>
      <w:u w:val="none"/>
      <w:lang w:val="ru-RU" w:eastAsia="hi-IN"/>
    </w:rPr>
  </w:style>
  <w:style w:type="character" w:styleId="ListLabel35">
    <w:name w:val="ListLabel 35"/>
    <w:qFormat/>
    <w:rPr>
      <w:rFonts w:ascii="Times New Roman" w:hAnsi="Times New Roman" w:eastAsia="Arial"/>
      <w:b w:val="false"/>
      <w:i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character" w:styleId="ListLabel36">
    <w:name w:val="ListLabel 36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character" w:styleId="ListLabel37">
    <w:name w:val="ListLabel 3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38">
    <w:name w:val="ListLabel 38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character" w:styleId="ListLabel39">
    <w:name w:val="ListLabel 39"/>
    <w:qFormat/>
    <w:rPr>
      <w:rFonts w:ascii="Times New Roman" w:hAnsi="Times New Roman" w:eastAsia="Courier New" w:cs="Times New Roman"/>
      <w:color w:val="000000"/>
      <w:kern w:val="2"/>
      <w:sz w:val="26"/>
      <w:szCs w:val="26"/>
      <w:u w:val="none"/>
      <w:lang w:val="ru-RU" w:eastAsia="hi-IN"/>
    </w:rPr>
  </w:style>
  <w:style w:type="character" w:styleId="ListLabel40">
    <w:name w:val="ListLabel 40"/>
    <w:qFormat/>
    <w:rPr>
      <w:rFonts w:ascii="Times New Roman" w:hAnsi="Times New Roman" w:eastAsia="Arial"/>
      <w:b w:val="false"/>
      <w:i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character" w:styleId="ListLabel41">
    <w:name w:val="ListLabel 41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character" w:styleId="ListLabel42">
    <w:name w:val="ListLabel 42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43">
    <w:name w:val="ListLabel 43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character" w:styleId="ListLabel44">
    <w:name w:val="ListLabel 44"/>
    <w:qFormat/>
    <w:rPr>
      <w:rFonts w:ascii="Times New Roman" w:hAnsi="Times New Roman" w:eastAsia="Courier New" w:cs="Times New Roman"/>
      <w:color w:val="000000"/>
      <w:kern w:val="2"/>
      <w:sz w:val="26"/>
      <w:szCs w:val="26"/>
      <w:u w:val="none"/>
      <w:lang w:val="ru-RU" w:eastAsia="hi-IN"/>
    </w:rPr>
  </w:style>
  <w:style w:type="character" w:styleId="ListLabel45">
    <w:name w:val="ListLabel 45"/>
    <w:qFormat/>
    <w:rPr>
      <w:rFonts w:ascii="Times New Roman" w:hAnsi="Times New Roman" w:eastAsia="Arial"/>
      <w:b w:val="false"/>
      <w:i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character" w:styleId="ListLabel46">
    <w:name w:val="ListLabel 46"/>
    <w:qFormat/>
    <w:rPr>
      <w:rFonts w:ascii="Times New Roman" w:hAnsi="Times New Roman" w:eastAsia="Courier New" w:cs="Arial"/>
      <w:b w:val="false"/>
      <w:bCs w:val="false"/>
      <w:i w:val="false"/>
      <w:iCs w:val="false"/>
      <w:strike w:val="false"/>
      <w:dstrike w:val="false"/>
      <w:color w:val="000000"/>
      <w:kern w:val="2"/>
      <w:sz w:val="26"/>
      <w:szCs w:val="26"/>
      <w:u w:val="none"/>
      <w:lang w:val="ru-RU" w:eastAsia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/>
      <w:color w:val="00000A"/>
      <w:kern w:val="2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/>
      <w:b/>
      <w:color w:val="00000A"/>
      <w:kern w:val="2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1">
    <w:name w:val="  ConsPlus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Arial" w:cs="Tahoma"/>
      <w:b w:val="false"/>
      <w:i w:val="false"/>
      <w:strike w:val="false"/>
      <w:dstrike w:val="false"/>
      <w:color w:val="00000A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ED464ADADCA26FDD55B16B07C6B03FD531D8C7B1072D3A18543859F335E32E84D89BF2F379B66700961227480200364D8F427A281771E73F7H2P" TargetMode="External"/><Relationship Id="rId4" Type="http://schemas.openxmlformats.org/officeDocument/2006/relationships/hyperlink" Target="consultantplus://offline/ref=CED464ADADCA26FDD55B08BD6A075FF25416D6741275D8F5D81E83C86C0E34BD0DC9B97A74DF6A700E6A7727C07E5A3599BF2BA09A6B1F7064C389D9F7H2P" TargetMode="External"/><Relationship Id="rId5" Type="http://schemas.openxmlformats.org/officeDocument/2006/relationships/hyperlink" Target="consultantplus://offline/ref=22E2BDF78A9D4455BB71F160D95519AB852E951FDB28DF17A0455D5E9A4C4A9E67BEC5751A24AF5D7ACEF0658D2298CB06v213N" TargetMode="External"/><Relationship Id="rId6" Type="http://schemas.openxmlformats.org/officeDocument/2006/relationships/hyperlink" Target="consultantplus://offline/ref=7AD473E57FB012747C004C633C9C5D3689F776536001A9A7D0F945DA062752C4C1EDADA5CC04328194BCE8555D134B91jF00O" TargetMode="External"/><Relationship Id="rId7" Type="http://schemas.openxmlformats.org/officeDocument/2006/relationships/hyperlink" Target="consultantplus://offline/ref=82A5AE47C07FEF22E999B75AD2374998F74DC4C0F4C9AE6B3378AC63B7AE4F2705A40394F05DA51C565DF2545DA7B02056FDz5N" TargetMode="External"/><Relationship Id="rId8" Type="http://schemas.openxmlformats.org/officeDocument/2006/relationships/hyperlink" Target="consultantplus://offline/ref=22E2BDF78A9D4455BB71F160D95519AB852E951FDB28DF17A0455D5E9A4C4A9E67BEC5751A24AF5D7ACEF0658D2298CB06v213N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LibreOffice/6.1.1.2$Windows_X86_64 LibreOffice_project/5d19a1bfa650b796764388cd8b33a5af1f5baa1b</Application>
  <Pages>4</Pages>
  <Words>879</Words>
  <Characters>5898</Characters>
  <CharactersWithSpaces>6832</CharactersWithSpaces>
  <Paragraphs>47</Paragraphs>
  <Company>КонсультантПлюс Версия 4021.00.55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2021-12-28T13:07:00Z</dcterms:created>
  <dc:creator>Миненко</dc:creator>
  <dc:description/>
  <dc:language>ru</dc:language>
  <cp:lastModifiedBy/>
  <cp:lastPrinted>2023-01-11T13:16:49Z</cp:lastPrinted>
  <dcterms:modified xsi:type="dcterms:W3CDTF">2023-01-11T16:34:06Z</dcterms:modified>
  <cp:revision>26</cp:revision>
  <dc:subject/>
  <dc:title>Постановление Правительства Ивановской области от 15.09.2021 N 415-п(ред. от 13.12.2021)"Об установлении величины прожиточного минимума на душу населения и по основным социально-демографическим группам населения в Ивановской области на 2022 год"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4021.00.55</vt:lpwstr>
  </property>
</Properties>
</file>