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74" w:rsidRDefault="00BA221E">
      <w:pPr>
        <w:shd w:val="clear" w:color="auto" w:fill="FFFFFF"/>
        <w:spacing w:beforeAutospacing="1" w:afterAutospacing="1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деятельности КДН и ЗП и органов системы профилактики Савинского муниципального района в 2020 году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Деятельность комиссии по делам несовершеннолетних и защите их прав Савинского муниципального района осуществляется в соответствии с требованиями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действующего законодательства, регулирующего защиту прав и законных интересов несовершеннолетних, профилактику их безнадзорности и правонарушений. Акцент в своей работе комиссия делала на снижение уровня преступности и правонарушений среди несовершеннолетн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их, защиту прав и законных интересов несовершеннолетних путем предупреждения безнадзорности, беспризорности, правонарушений и антиобщественных действий среди несовершеннолетних, выявление и устранение причин и условий, способствующих этому.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являет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координирующим органом в районе всех заинтересованных служб и ведомств в решении проблем безнадзорности и правонарушений несовершеннолетних.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КДН и ЗП включены представители всех органов и учреждений системы профилактики района, что обеспечивает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межведомственный подход в решении стоящих задач перед КДН и ЗП и позволяет принимать оперативные и эффективные решения. В соответствие с требованиями ст. 8 Постановления Правительства РФ от 09.06.2015 N 244-п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изменениями от 12.11.2020 №567-п) "Об утве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рждении Примерного положения о комиссиях по делам несовершеннолетних и защите их прав", в состав комиссии входят председатель, заместитель председателя и члены комиссии. КДН и ЗП состоит из 14 человек, председатель, заместитель председателя и все члены 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иссии исполняют свои обязанности на общественных началах.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В результате взаимодействия органов и учреждений системы профилактики, проведения ежеквартальной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взаимосверки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имеется банк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детях, находящихся в социально опасном положении, семьях,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признанных находящимися в социально опасном положении, списочный состав замещающих и многодетных семей, а также лиц, состоящих на учете в ОП № 11 МО МВД России «Шуйский».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Профилактическая работа с детьми и семьями носит как комплексный, так и ведомс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твенный характер. С указанной категорией  проводится работа в соответствии с  утвержденным постановлением КДН и ЗП Ивановской области № 4-о от 22.10.2019 года «Порядком межведомственного взаимодействия субъектов системы профилактики безнадзорности и правон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арушений несовершеннолетних по выявлению, учету и организации межведомственной индивидуальной профилактической работы с семьями и несовершеннолетними, находящимися в социально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опасном положении, и организации ведомственного учета семей (несовершеннолетних)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находящихся в трудной жизненной ситуации».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профилактическом учете в КДН ЗП Савинского муниципального района Ивановской области состоит:</w:t>
      </w:r>
    </w:p>
    <w:tbl>
      <w:tblPr>
        <w:tblStyle w:val="aa"/>
        <w:tblW w:w="934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96"/>
        <w:gridCol w:w="3174"/>
        <w:gridCol w:w="3175"/>
      </w:tblGrid>
      <w:tr w:rsidR="005F6474">
        <w:tc>
          <w:tcPr>
            <w:tcW w:w="2996" w:type="dxa"/>
            <w:shd w:val="clear" w:color="auto" w:fill="auto"/>
            <w:tcMar>
              <w:left w:w="103" w:type="dxa"/>
            </w:tcMar>
          </w:tcPr>
          <w:p w:rsidR="005F6474" w:rsidRDefault="005F647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74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3175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31.12.2020</w:t>
            </w:r>
          </w:p>
        </w:tc>
      </w:tr>
      <w:tr w:rsidR="005F6474">
        <w:tc>
          <w:tcPr>
            <w:tcW w:w="2996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несовершеннолетних</w:t>
            </w:r>
            <w:proofErr w:type="gramEnd"/>
          </w:p>
        </w:tc>
        <w:tc>
          <w:tcPr>
            <w:tcW w:w="3174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5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F6474">
        <w:tc>
          <w:tcPr>
            <w:tcW w:w="2996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семей</w:t>
            </w:r>
            <w:proofErr w:type="gramEnd"/>
          </w:p>
        </w:tc>
        <w:tc>
          <w:tcPr>
            <w:tcW w:w="3174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5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5F6474">
        <w:tc>
          <w:tcPr>
            <w:tcW w:w="2996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них детей</w:t>
            </w:r>
          </w:p>
        </w:tc>
        <w:tc>
          <w:tcPr>
            <w:tcW w:w="3174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75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5F6474">
        <w:tc>
          <w:tcPr>
            <w:tcW w:w="2996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Итого несовершеннолетних:</w:t>
            </w:r>
          </w:p>
        </w:tc>
        <w:tc>
          <w:tcPr>
            <w:tcW w:w="3174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75" w:type="dxa"/>
            <w:shd w:val="clear" w:color="auto" w:fill="auto"/>
            <w:tcMar>
              <w:left w:w="103" w:type="dxa"/>
            </w:tcMar>
          </w:tcPr>
          <w:p w:rsidR="005F6474" w:rsidRDefault="00BA221E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</w:tbl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Наибольшее количество подростков привлечено к административной ответственности за употребление алкогольной продукции, побои и по линии ГБДД, родители - за неисполнение родительских обязанностей по обучению, содержанию, воспитанию несовершеннолетних детей.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рассмотреть состоящих на учете в течение всего года в разрезе поселений, то получается следующее:</w:t>
      </w:r>
    </w:p>
    <w:tbl>
      <w:tblPr>
        <w:tblW w:w="9339" w:type="dxa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251"/>
        <w:gridCol w:w="2233"/>
      </w:tblGrid>
      <w:tr w:rsidR="005F6474"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3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 w:rsidP="00BA221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несовершеннолетние</w:t>
            </w:r>
            <w:proofErr w:type="gramEnd"/>
          </w:p>
        </w:tc>
        <w:tc>
          <w:tcPr>
            <w:tcW w:w="22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семьи</w:t>
            </w:r>
            <w:proofErr w:type="gramEnd"/>
          </w:p>
        </w:tc>
      </w:tr>
      <w:tr w:rsidR="005F6474"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Вознесенское </w:t>
            </w:r>
          </w:p>
        </w:tc>
        <w:tc>
          <w:tcPr>
            <w:tcW w:w="3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 w:rsidP="00BA221E">
            <w:pPr>
              <w:spacing w:beforeAutospacing="1" w:afterAutospacing="1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F6474"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 городское</w:t>
            </w:r>
          </w:p>
        </w:tc>
        <w:tc>
          <w:tcPr>
            <w:tcW w:w="3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 w:rsidP="00BA221E">
            <w:pPr>
              <w:spacing w:beforeAutospacing="1" w:afterAutospacing="1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6474"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 сельское</w:t>
            </w:r>
          </w:p>
        </w:tc>
        <w:tc>
          <w:tcPr>
            <w:tcW w:w="3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 w:rsidP="00BA221E">
            <w:pPr>
              <w:spacing w:beforeAutospacing="1" w:afterAutospacing="1" w:line="240" w:lineRule="auto"/>
              <w:ind w:firstLine="567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F6474"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Архиповское</w:t>
            </w:r>
            <w:proofErr w:type="spellEnd"/>
          </w:p>
        </w:tc>
        <w:tc>
          <w:tcPr>
            <w:tcW w:w="3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 w:rsidP="00BA221E">
            <w:pPr>
              <w:spacing w:beforeAutospacing="1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 w:rsidP="00BA221E">
            <w:pPr>
              <w:spacing w:beforeAutospacing="1" w:afterAutospacing="1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5F6474"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Воскресенское</w:t>
            </w:r>
          </w:p>
        </w:tc>
        <w:tc>
          <w:tcPr>
            <w:tcW w:w="3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 w:rsidP="00BA221E">
            <w:pPr>
              <w:spacing w:beforeAutospacing="1" w:afterAutospacing="1" w:line="240" w:lineRule="auto"/>
              <w:ind w:firstLine="567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5F6474"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Горячевское</w:t>
            </w:r>
            <w:proofErr w:type="spellEnd"/>
          </w:p>
        </w:tc>
        <w:tc>
          <w:tcPr>
            <w:tcW w:w="32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5F6474" w:rsidRDefault="00BA221E">
            <w:pPr>
              <w:spacing w:beforeAutospacing="1" w:afterAutospacing="1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Выявление родителей с ранними признаками неблагополучия является одной 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предупредительных мер совершения родителями правонарушений и преступлений в отношении детей, а также противодействует безнадзорности и беспризорности несовершеннолетних, падению их нравственного уровня. Необходимо отметить, что в Савинском городском поселе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 нужно активизировать работу по недопущению совершения родителями противоправных деяний либо бездействия по отношению к своим несовершеннолетним детям.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рассмотрении персональных дел несовершеннолетних, совершивших административные правонарушения,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миссия отмечает,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чаще всего правонарушения совершают подростки из семей, где родители не в полной мере или вообще не занимаются воспитанием детей. Отклонения в поведении несовершеннолетних (правонарушения, употребление спиртных напитков) имеют в своей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основе один источник –социальную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корни которой лежат в семейных проблемах.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причиной социального неблагополучия в районе, по-прежнему, остается: алкоголизм и злоупотребление родителями спиртными напитками, а отсюда сопутствующие причи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ны, отсутствие родительской заботы и внимания, уклонение от выполнения родительских обязанностей, занятость родителей, нежелание создавать нормальные условия для воспитания и содержание своих несовершеннолетних детей.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 службами системы профилактики 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знадзорности и правонарушений принимаются меры по повышению роли и ответственности семьи. В целях своевременного выявления раннего неблагополучия, осуществления контроля за семьями, находящимися в социально опасном положении, проводятся рейдовые выезды,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офилактические беседы и даются рекомендации.  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2020 году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проведено  20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профилактических рейдов, организовано и проведено 6 межведомственных комплексных профилактических акций («В семье без насилия», «Здоровый образ жизни», «Безнадзорные дети», «Всеобуч»,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«Внимание, родители!», «Лидер»).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комиссии по делам несовершеннолетних и защите их прав проводится в соответствии с годовым планом комиссии, нормативно – правовыми актами. Являясь межведомственным коллегиальным органом, КДН и ЗП в своей практической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 серьезное внимание уделяет подготовке и проведению заседаний комиссии. За отчетный период проведено 15 заседаний комиссии, на которых рассмотрено более 20 вопросов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общепрофилактического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характера. На заседаниях комиссии по различным направлениям 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ятельности были заслушаны представители МБОУ Савинская СШ,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Архиповская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СШ, МБОУ Вознесенская средняя школа, ТУСЗН по Савинскому муниципальному району, ЦЗН.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Ежеквартально на заседании КДН и ЗП заслушивается ОП № 11 Мо МВД России «Шуйский» по вопросу «П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одростковой преступности»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На заседаниях КДН и ЗП за истекший период рассмотрен 150 материалов в отношении несовершеннолетних, родителей, иных лиц.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В отношении несовершеннолетних рассмотрено 10 материалов, из них: за совершение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административного правонарушения – 7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ч.2 ст.20.20 КоАП РФ (Потребление наркотических средств или психотропных веществ без назначения врача) – 1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ч.1 ст.20.20 КоАП РФ (Потребление (распитие) алкогольной продукции в местах, запрещенных фе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деральным законом) — 1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ст. 6.1.1 КоАП РФ (Побои)– 1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материала по линии ГИБДД.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отношении родителей рассмотрено 140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материалов 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совершение административного правонаруше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ния, из них: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ст. 5.35 ч.1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 - 131 материалов;</w:t>
      </w:r>
    </w:p>
    <w:p w:rsidR="005F6474" w:rsidRPr="00BA221E" w:rsidRDefault="00BA221E" w:rsidP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ст.20.22 КоАП РФ (Нахождение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врача, иных одурманивающих веществ) – 9 материала.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Все несовершеннолетние и родители поставлены на профилактический учет в органы системы профилактики района, которые в течение всего года проводили с ними реабилитационные мероприятия.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Реал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изация индивидуальных мероприятий программ реабилитации осуществляется через применение различных методов работы с семьей: индивидуальное и семейное консультирование, собеседование, организация досуга, оказание содействия в оформлении мер социальной поддер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жки, субсидий, льгот, пособий, оказание натуральной помощи, оказание содействия в лечении от алкогольной зависимости и т.д.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КДН и ЗП оказывает помощь в оформлении паспортов, семьям состоящих на различных видах профилактического учета вручены продукто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 наборы. Ежегодно, для детей состоящих на различных видах учета у субъектов системы профилактики, проводит благотворительную акцию «Подари добро на Новый год».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 работы по трудоустройству несовершеннолетних, детей из семей, находящихся в соци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ально опасном положении, трудной жизненной ситуации в 2020 году не осуществлялась из отсутствия регламентов, в связи с ограничительными мерами по нераспространению новой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инфекции.  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2020 году с введенным на территории Ивановской области</w:t>
      </w:r>
      <w:r>
        <w:rPr>
          <w:rFonts w:ascii="0" w:eastAsia="Times New Roman" w:hAnsi="0" w:cs="Times New Roman"/>
          <w:color w:val="333333"/>
          <w:sz w:val="28"/>
          <w:szCs w:val="28"/>
          <w:lang w:eastAsia="ru-RU"/>
        </w:rPr>
        <w:t xml:space="preserve"> ре</w:t>
      </w:r>
      <w:r>
        <w:rPr>
          <w:rFonts w:ascii="0" w:eastAsia="Times New Roman" w:hAnsi="0" w:cs="Times New Roman"/>
          <w:color w:val="333333"/>
          <w:sz w:val="28"/>
          <w:szCs w:val="28"/>
          <w:lang w:eastAsia="ru-RU"/>
        </w:rPr>
        <w:t>жима повышенной готовности,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ынужденной мерой стал переход образовательных учреждений, учреждений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  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дистанционные формы проведения мероприятий, что внесло существенные изменения в устоявшиеся привычные коммуникации взаимодействия. 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Межве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домственный комплексный план мероприятий по профилактике безнадзорности, беспризорности, наркомании, алкоголизма, правонарушений и суицидов   несовершеннолетних, защите их прав в Савинском муниципальном районе, на 2020 год выполнен. Эффективность работы КД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и ЗП недостаточно высока из-за отсутствия реальных и эффективных механизмов воздействия на несовершеннолетних и семьи, находящихся в социально опасном положении.</w:t>
      </w:r>
    </w:p>
    <w:p w:rsidR="005F6474" w:rsidRDefault="00BA221E">
      <w:pPr>
        <w:shd w:val="clear" w:color="auto" w:fill="FFFFFF"/>
        <w:spacing w:beforeAutospacing="1" w:afterAutospacing="1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В 2021 году необходимо продолжить практику работы районной КДН и ЗП по совершенствован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 координации усилий органов и учреждений системы профилактики в решении вопросов межведомственного взаимодействия по профилактике безнадзорности, беспризорности, преступлений и правонарушений несовершеннолетних и родителей (законных представителей).</w:t>
      </w:r>
    </w:p>
    <w:p w:rsidR="005F6474" w:rsidRDefault="005F6474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5F647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6474"/>
    <w:rsid w:val="005F6474"/>
    <w:rsid w:val="00B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7CAAF-7378-4022-A5D8-18505C6C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F43C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F43C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56D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5</Pages>
  <Words>1410</Words>
  <Characters>8042</Characters>
  <Application>Microsoft Office Word</Application>
  <DocSecurity>0</DocSecurity>
  <Lines>67</Lines>
  <Paragraphs>18</Paragraphs>
  <ScaleCrop>false</ScaleCrop>
  <Company>КонсультантПлюс Версия 4020.00.61</Company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Ивановской области от 17.03.2020 N 23-уг
"О введении на территории Ивановской области режима повышенной готовности"</dc:title>
  <dc:subject/>
  <dc:creator>Специалист</dc:creator>
  <dc:description/>
  <cp:lastModifiedBy>Специалист</cp:lastModifiedBy>
  <cp:revision>5</cp:revision>
  <cp:lastPrinted>2021-02-04T09:39:00Z</cp:lastPrinted>
  <dcterms:created xsi:type="dcterms:W3CDTF">2021-02-04T09:27:00Z</dcterms:created>
  <dcterms:modified xsi:type="dcterms:W3CDTF">2021-03-17T05:25:00Z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